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AA2" w:rsidRDefault="00EB4AA2" w:rsidP="001A7EC7">
      <w:pPr>
        <w:jc w:val="center"/>
      </w:pPr>
      <w:r>
        <w:rPr>
          <w:noProof/>
          <w:lang w:eastAsia="en-GB"/>
        </w:rPr>
        <w:drawing>
          <wp:inline distT="0" distB="0" distL="0" distR="0" wp14:anchorId="6C87EA65" wp14:editId="4642730F">
            <wp:extent cx="646621" cy="552450"/>
            <wp:effectExtent l="19050" t="19050" r="20320" b="19050"/>
            <wp:docPr id="8" name="Picture 8" descr="C:\Users\lorna62gmail.com\Downloads\logo col gradient (1).jpg"/>
            <wp:cNvGraphicFramePr/>
            <a:graphic xmlns:a="http://schemas.openxmlformats.org/drawingml/2006/main">
              <a:graphicData uri="http://schemas.openxmlformats.org/drawingml/2006/picture">
                <pic:pic xmlns:pic="http://schemas.openxmlformats.org/drawingml/2006/picture">
                  <pic:nvPicPr>
                    <pic:cNvPr id="8" name="Picture 8" descr="C:\Users\lorna62gmail.com\Downloads\logo col gradient (1).jpg"/>
                    <pic:cNvPicPr/>
                  </pic:nvPicPr>
                  <pic:blipFill>
                    <a:blip r:embed="rId5" cstate="print"/>
                    <a:srcRect/>
                    <a:stretch>
                      <a:fillRect/>
                    </a:stretch>
                  </pic:blipFill>
                  <pic:spPr bwMode="auto">
                    <a:xfrm>
                      <a:off x="0" y="0"/>
                      <a:ext cx="671923" cy="574068"/>
                    </a:xfrm>
                    <a:prstGeom prst="rect">
                      <a:avLst/>
                    </a:prstGeom>
                    <a:noFill/>
                    <a:ln w="9525">
                      <a:solidFill>
                        <a:schemeClr val="tx1"/>
                      </a:solidFill>
                      <a:miter lim="800000"/>
                      <a:headEnd/>
                      <a:tailEnd/>
                    </a:ln>
                  </pic:spPr>
                </pic:pic>
              </a:graphicData>
            </a:graphic>
          </wp:inline>
        </w:drawing>
      </w:r>
    </w:p>
    <w:p w:rsidR="00EB4AA2" w:rsidRDefault="00EB4AA2" w:rsidP="00EB4AA2">
      <w:pPr>
        <w:jc w:val="center"/>
        <w:rPr>
          <w:rFonts w:ascii="Lucida Handwriting" w:hAnsi="Lucida Handwriting"/>
          <w:color w:val="2E74B5" w:themeColor="accent1" w:themeShade="BF"/>
          <w:sz w:val="20"/>
          <w:szCs w:val="20"/>
        </w:rPr>
      </w:pPr>
      <w:r>
        <w:rPr>
          <w:color w:val="2E74B5" w:themeColor="accent1" w:themeShade="BF"/>
          <w:sz w:val="28"/>
          <w:szCs w:val="28"/>
        </w:rPr>
        <w:t>‘</w:t>
      </w:r>
      <w:r w:rsidR="006070BC">
        <w:rPr>
          <w:rFonts w:ascii="Lucida Handwriting" w:hAnsi="Lucida Handwriting"/>
          <w:color w:val="2E74B5" w:themeColor="accent1" w:themeShade="BF"/>
          <w:sz w:val="20"/>
          <w:szCs w:val="20"/>
        </w:rPr>
        <w:t>Learning together through love, f</w:t>
      </w:r>
      <w:r w:rsidRPr="00EB4AA2">
        <w:rPr>
          <w:rFonts w:ascii="Lucida Handwriting" w:hAnsi="Lucida Handwriting"/>
          <w:color w:val="2E74B5" w:themeColor="accent1" w:themeShade="BF"/>
          <w:sz w:val="20"/>
          <w:szCs w:val="20"/>
        </w:rPr>
        <w:t>riendship, forgiveness and faith.’</w:t>
      </w:r>
    </w:p>
    <w:p w:rsidR="00EB4AA2" w:rsidRDefault="00EB4AA2" w:rsidP="00EB4AA2">
      <w:pPr>
        <w:jc w:val="center"/>
        <w:rPr>
          <w:rFonts w:ascii="Lucida Handwriting" w:hAnsi="Lucida Handwriting"/>
          <w:color w:val="2E74B5" w:themeColor="accent1" w:themeShade="BF"/>
          <w:sz w:val="20"/>
          <w:szCs w:val="20"/>
        </w:rPr>
      </w:pPr>
    </w:p>
    <w:p w:rsidR="00EB4AA2" w:rsidRDefault="00EB4AA2" w:rsidP="00EB4AA2">
      <w:pPr>
        <w:jc w:val="center"/>
        <w:rPr>
          <w:rFonts w:ascii="Arial" w:hAnsi="Arial" w:cs="Arial"/>
          <w:b/>
          <w:color w:val="2E74B5" w:themeColor="accent1" w:themeShade="BF"/>
          <w:sz w:val="28"/>
          <w:szCs w:val="28"/>
          <w:u w:val="single"/>
        </w:rPr>
      </w:pPr>
      <w:r>
        <w:rPr>
          <w:rFonts w:ascii="Arial" w:hAnsi="Arial" w:cs="Arial"/>
          <w:b/>
          <w:color w:val="2E74B5" w:themeColor="accent1" w:themeShade="BF"/>
          <w:sz w:val="28"/>
          <w:szCs w:val="28"/>
          <w:u w:val="single"/>
        </w:rPr>
        <w:t>St Michael’s PE and Sport Grants 2017/18</w:t>
      </w:r>
    </w:p>
    <w:p w:rsidR="00FD395B" w:rsidRDefault="00FD395B" w:rsidP="00EB4AA2">
      <w:pPr>
        <w:jc w:val="center"/>
        <w:rPr>
          <w:rFonts w:ascii="Arial" w:hAnsi="Arial" w:cs="Arial"/>
          <w:color w:val="2E74B5" w:themeColor="accent1" w:themeShade="BF"/>
          <w:sz w:val="28"/>
          <w:szCs w:val="28"/>
        </w:rPr>
      </w:pPr>
      <w:r>
        <w:rPr>
          <w:rFonts w:ascii="Arial" w:hAnsi="Arial" w:cs="Arial"/>
          <w:color w:val="2E74B5" w:themeColor="accent1" w:themeShade="BF"/>
          <w:sz w:val="28"/>
          <w:szCs w:val="28"/>
        </w:rPr>
        <w:t>In September 2017, the Government confirmed that the primary PE grant would double for the academic year 17/18 so that all schools will receive a lump sum of £16,000 and an additional payment of £10 per pupil. For St Michael’s this means that the sport’s funding received fo</w:t>
      </w:r>
      <w:r w:rsidR="0007201C">
        <w:rPr>
          <w:rFonts w:ascii="Arial" w:hAnsi="Arial" w:cs="Arial"/>
          <w:color w:val="2E74B5" w:themeColor="accent1" w:themeShade="BF"/>
          <w:sz w:val="28"/>
          <w:szCs w:val="28"/>
        </w:rPr>
        <w:t>r the 17/18 year was</w:t>
      </w:r>
      <w:bookmarkStart w:id="0" w:name="_GoBack"/>
      <w:bookmarkEnd w:id="0"/>
      <w:r w:rsidR="0007201C">
        <w:rPr>
          <w:rFonts w:ascii="Arial" w:hAnsi="Arial" w:cs="Arial"/>
          <w:color w:val="2E74B5" w:themeColor="accent1" w:themeShade="BF"/>
          <w:sz w:val="28"/>
          <w:szCs w:val="28"/>
        </w:rPr>
        <w:t xml:space="preserve"> £14,095</w:t>
      </w:r>
    </w:p>
    <w:p w:rsidR="00FD395B" w:rsidRDefault="00FD395B" w:rsidP="00EB4AA2">
      <w:pPr>
        <w:jc w:val="center"/>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This additional funding has been used to develop our outdoor area in EYFS to increase physical development of our youngest children hoping that this will forge new learning behaviours and a healthy approach to PE. This area is also used by a local Nursery who have no on site access to outside green spaces. </w:t>
      </w:r>
    </w:p>
    <w:p w:rsidR="00FD395B" w:rsidRDefault="009B2D7D" w:rsidP="00EB4AA2">
      <w:pPr>
        <w:jc w:val="center"/>
        <w:rPr>
          <w:rFonts w:ascii="Arial" w:hAnsi="Arial" w:cs="Arial"/>
          <w:color w:val="2E74B5" w:themeColor="accent1" w:themeShade="BF"/>
          <w:sz w:val="28"/>
          <w:szCs w:val="28"/>
        </w:rPr>
      </w:pPr>
      <w:r>
        <w:rPr>
          <w:rFonts w:ascii="Arial" w:hAnsi="Arial" w:cs="Arial"/>
          <w:color w:val="2E74B5" w:themeColor="accent1" w:themeShade="BF"/>
          <w:sz w:val="28"/>
          <w:szCs w:val="28"/>
        </w:rPr>
        <w:t>The funding has also enabled us to install a much needed new and safer adventure playground. The playground was planned in consultation with the School Council and meets the physical needs of all the pupils across all the key stages.</w:t>
      </w:r>
    </w:p>
    <w:p w:rsidR="009B2D7D" w:rsidRDefault="009B2D7D" w:rsidP="00EB4AA2">
      <w:pPr>
        <w:jc w:val="center"/>
        <w:rPr>
          <w:rFonts w:ascii="Arial" w:hAnsi="Arial" w:cs="Arial"/>
          <w:color w:val="2E74B5" w:themeColor="accent1" w:themeShade="BF"/>
          <w:sz w:val="28"/>
          <w:szCs w:val="28"/>
        </w:rPr>
      </w:pPr>
    </w:p>
    <w:tbl>
      <w:tblPr>
        <w:tblStyle w:val="TableGrid"/>
        <w:tblW w:w="0" w:type="auto"/>
        <w:tblLook w:val="04A0" w:firstRow="1" w:lastRow="0" w:firstColumn="1" w:lastColumn="0" w:noHBand="0" w:noVBand="1"/>
      </w:tblPr>
      <w:tblGrid>
        <w:gridCol w:w="2254"/>
        <w:gridCol w:w="2254"/>
        <w:gridCol w:w="2254"/>
        <w:gridCol w:w="2254"/>
      </w:tblGrid>
      <w:tr w:rsidR="009B2D7D" w:rsidTr="009B2D7D">
        <w:tc>
          <w:tcPr>
            <w:tcW w:w="2254" w:type="dxa"/>
            <w:shd w:val="clear" w:color="auto" w:fill="DEEAF6" w:themeFill="accent1" w:themeFillTint="33"/>
          </w:tcPr>
          <w:p w:rsidR="009B2D7D" w:rsidRPr="009B2D7D" w:rsidRDefault="009B2D7D" w:rsidP="00EB4AA2">
            <w:pPr>
              <w:jc w:val="center"/>
              <w:rPr>
                <w:rFonts w:ascii="Arial" w:hAnsi="Arial" w:cs="Arial"/>
                <w:b/>
                <w:color w:val="2E74B5" w:themeColor="accent1" w:themeShade="BF"/>
                <w:sz w:val="24"/>
                <w:szCs w:val="24"/>
              </w:rPr>
            </w:pPr>
            <w:r w:rsidRPr="009B2D7D">
              <w:rPr>
                <w:rFonts w:ascii="Arial" w:hAnsi="Arial" w:cs="Arial"/>
                <w:b/>
                <w:color w:val="2E74B5" w:themeColor="accent1" w:themeShade="BF"/>
                <w:sz w:val="24"/>
                <w:szCs w:val="24"/>
              </w:rPr>
              <w:t>Eligible Pupils 5 and over (Jan 2017)</w:t>
            </w:r>
          </w:p>
        </w:tc>
        <w:tc>
          <w:tcPr>
            <w:tcW w:w="2254" w:type="dxa"/>
            <w:shd w:val="clear" w:color="auto" w:fill="DEEAF6" w:themeFill="accent1" w:themeFillTint="33"/>
          </w:tcPr>
          <w:p w:rsidR="009B2D7D" w:rsidRDefault="009B2D7D"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TOTAL</w:t>
            </w:r>
          </w:p>
          <w:p w:rsidR="009B2D7D" w:rsidRDefault="009B2D7D"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PE &amp; Sport Grant</w:t>
            </w:r>
          </w:p>
          <w:p w:rsidR="009B2D7D" w:rsidRPr="009B2D7D" w:rsidRDefault="009B2D7D"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2017 to 2018 (£)</w:t>
            </w:r>
          </w:p>
        </w:tc>
        <w:tc>
          <w:tcPr>
            <w:tcW w:w="2254" w:type="dxa"/>
            <w:shd w:val="clear" w:color="auto" w:fill="DEEAF6" w:themeFill="accent1" w:themeFillTint="33"/>
          </w:tcPr>
          <w:p w:rsidR="009B2D7D" w:rsidRDefault="009B2D7D"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57%</w:t>
            </w:r>
          </w:p>
          <w:p w:rsidR="009B2D7D" w:rsidRPr="009B2D7D" w:rsidRDefault="009B2D7D"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For payment Nov 2017 (£)</w:t>
            </w:r>
          </w:p>
        </w:tc>
        <w:tc>
          <w:tcPr>
            <w:tcW w:w="2254" w:type="dxa"/>
            <w:shd w:val="clear" w:color="auto" w:fill="DEEAF6" w:themeFill="accent1" w:themeFillTint="33"/>
          </w:tcPr>
          <w:p w:rsidR="009B2D7D" w:rsidRDefault="009B2D7D"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43%</w:t>
            </w:r>
          </w:p>
          <w:p w:rsidR="009B2D7D" w:rsidRDefault="009B2D7D"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For payment in May 2018</w:t>
            </w:r>
          </w:p>
          <w:p w:rsidR="009B2D7D" w:rsidRPr="009B2D7D" w:rsidRDefault="009B2D7D"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w:t>
            </w:r>
          </w:p>
        </w:tc>
      </w:tr>
      <w:tr w:rsidR="009B2D7D" w:rsidTr="009B2D7D">
        <w:tc>
          <w:tcPr>
            <w:tcW w:w="2254" w:type="dxa"/>
          </w:tcPr>
          <w:p w:rsidR="009B2D7D" w:rsidRDefault="009B2D7D" w:rsidP="00EB4AA2">
            <w:pPr>
              <w:jc w:val="center"/>
              <w:rPr>
                <w:rFonts w:ascii="Arial" w:hAnsi="Arial" w:cs="Arial"/>
                <w:color w:val="2E74B5" w:themeColor="accent1" w:themeShade="BF"/>
                <w:sz w:val="28"/>
                <w:szCs w:val="28"/>
              </w:rPr>
            </w:pPr>
          </w:p>
          <w:p w:rsidR="009B2D7D" w:rsidRDefault="00D82E33" w:rsidP="00EB4AA2">
            <w:pPr>
              <w:jc w:val="center"/>
              <w:rPr>
                <w:rFonts w:ascii="Arial" w:hAnsi="Arial" w:cs="Arial"/>
                <w:color w:val="2E74B5" w:themeColor="accent1" w:themeShade="BF"/>
                <w:sz w:val="28"/>
                <w:szCs w:val="28"/>
              </w:rPr>
            </w:pPr>
            <w:r>
              <w:rPr>
                <w:rFonts w:ascii="Arial" w:hAnsi="Arial" w:cs="Arial"/>
                <w:color w:val="2E74B5" w:themeColor="accent1" w:themeShade="BF"/>
                <w:sz w:val="28"/>
                <w:szCs w:val="28"/>
              </w:rPr>
              <w:t>179</w:t>
            </w:r>
          </w:p>
        </w:tc>
        <w:tc>
          <w:tcPr>
            <w:tcW w:w="2254" w:type="dxa"/>
          </w:tcPr>
          <w:p w:rsidR="009B2D7D" w:rsidRDefault="009B2D7D" w:rsidP="00EB4AA2">
            <w:pPr>
              <w:jc w:val="center"/>
              <w:rPr>
                <w:rFonts w:ascii="Arial" w:hAnsi="Arial" w:cs="Arial"/>
                <w:color w:val="2E74B5" w:themeColor="accent1" w:themeShade="BF"/>
                <w:sz w:val="28"/>
                <w:szCs w:val="28"/>
              </w:rPr>
            </w:pPr>
            <w:r>
              <w:rPr>
                <w:rFonts w:ascii="Arial" w:hAnsi="Arial" w:cs="Arial"/>
                <w:color w:val="2E74B5" w:themeColor="accent1" w:themeShade="BF"/>
                <w:sz w:val="28"/>
                <w:szCs w:val="28"/>
              </w:rPr>
              <w:t>£16,000 lump sum +£10 per pupil =</w:t>
            </w:r>
          </w:p>
        </w:tc>
        <w:tc>
          <w:tcPr>
            <w:tcW w:w="2254" w:type="dxa"/>
          </w:tcPr>
          <w:p w:rsidR="009B2D7D" w:rsidRDefault="009B2D7D" w:rsidP="00EB4AA2">
            <w:pPr>
              <w:jc w:val="center"/>
              <w:rPr>
                <w:rFonts w:ascii="Arial" w:hAnsi="Arial" w:cs="Arial"/>
                <w:color w:val="2E74B5" w:themeColor="accent1" w:themeShade="BF"/>
                <w:sz w:val="28"/>
                <w:szCs w:val="28"/>
              </w:rPr>
            </w:pPr>
          </w:p>
          <w:p w:rsidR="00D82E33" w:rsidRDefault="00D82E33" w:rsidP="00EB4AA2">
            <w:pPr>
              <w:jc w:val="center"/>
              <w:rPr>
                <w:rFonts w:ascii="Arial" w:hAnsi="Arial" w:cs="Arial"/>
                <w:color w:val="2E74B5" w:themeColor="accent1" w:themeShade="BF"/>
                <w:sz w:val="28"/>
                <w:szCs w:val="28"/>
              </w:rPr>
            </w:pPr>
            <w:r>
              <w:rPr>
                <w:rFonts w:ascii="Arial" w:hAnsi="Arial" w:cs="Arial"/>
                <w:color w:val="2E74B5" w:themeColor="accent1" w:themeShade="BF"/>
                <w:sz w:val="28"/>
                <w:szCs w:val="28"/>
              </w:rPr>
              <w:t>£10,378</w:t>
            </w:r>
          </w:p>
        </w:tc>
        <w:tc>
          <w:tcPr>
            <w:tcW w:w="2254" w:type="dxa"/>
          </w:tcPr>
          <w:p w:rsidR="009B2D7D" w:rsidRDefault="009B2D7D" w:rsidP="00EB4AA2">
            <w:pPr>
              <w:jc w:val="center"/>
              <w:rPr>
                <w:rFonts w:ascii="Arial" w:hAnsi="Arial" w:cs="Arial"/>
                <w:color w:val="2E74B5" w:themeColor="accent1" w:themeShade="BF"/>
                <w:sz w:val="28"/>
                <w:szCs w:val="28"/>
              </w:rPr>
            </w:pPr>
          </w:p>
          <w:p w:rsidR="00D82E33" w:rsidRDefault="00D82E33" w:rsidP="00EB4AA2">
            <w:pPr>
              <w:jc w:val="center"/>
              <w:rPr>
                <w:rFonts w:ascii="Arial" w:hAnsi="Arial" w:cs="Arial"/>
                <w:color w:val="2E74B5" w:themeColor="accent1" w:themeShade="BF"/>
                <w:sz w:val="28"/>
                <w:szCs w:val="28"/>
              </w:rPr>
            </w:pPr>
            <w:r>
              <w:rPr>
                <w:rFonts w:ascii="Arial" w:hAnsi="Arial" w:cs="Arial"/>
                <w:color w:val="2E74B5" w:themeColor="accent1" w:themeShade="BF"/>
                <w:sz w:val="28"/>
                <w:szCs w:val="28"/>
              </w:rPr>
              <w:t>£7,412</w:t>
            </w:r>
          </w:p>
        </w:tc>
      </w:tr>
    </w:tbl>
    <w:p w:rsidR="009B2D7D" w:rsidRDefault="009B2D7D" w:rsidP="00EB4AA2">
      <w:pPr>
        <w:jc w:val="center"/>
        <w:rPr>
          <w:rFonts w:ascii="Arial" w:hAnsi="Arial" w:cs="Arial"/>
          <w:color w:val="2E74B5" w:themeColor="accent1" w:themeShade="BF"/>
          <w:sz w:val="28"/>
          <w:szCs w:val="28"/>
        </w:rPr>
      </w:pPr>
    </w:p>
    <w:tbl>
      <w:tblPr>
        <w:tblStyle w:val="TableGrid"/>
        <w:tblW w:w="0" w:type="auto"/>
        <w:tblLook w:val="04A0" w:firstRow="1" w:lastRow="0" w:firstColumn="1" w:lastColumn="0" w:noHBand="0" w:noVBand="1"/>
      </w:tblPr>
      <w:tblGrid>
        <w:gridCol w:w="2254"/>
        <w:gridCol w:w="2254"/>
        <w:gridCol w:w="2254"/>
        <w:gridCol w:w="2254"/>
      </w:tblGrid>
      <w:tr w:rsidR="009B2D7D" w:rsidTr="009B2D7D">
        <w:tc>
          <w:tcPr>
            <w:tcW w:w="2254" w:type="dxa"/>
            <w:shd w:val="clear" w:color="auto" w:fill="DEEAF6" w:themeFill="accent1" w:themeFillTint="33"/>
          </w:tcPr>
          <w:p w:rsidR="009B2D7D" w:rsidRPr="009B2D7D" w:rsidRDefault="009B2D7D" w:rsidP="00EB4AA2">
            <w:pPr>
              <w:jc w:val="center"/>
              <w:rPr>
                <w:rFonts w:ascii="Arial" w:hAnsi="Arial" w:cs="Arial"/>
                <w:b/>
                <w:color w:val="2E74B5" w:themeColor="accent1" w:themeShade="BF"/>
                <w:sz w:val="24"/>
                <w:szCs w:val="24"/>
              </w:rPr>
            </w:pPr>
            <w:r w:rsidRPr="009B2D7D">
              <w:rPr>
                <w:rFonts w:ascii="Arial" w:hAnsi="Arial" w:cs="Arial"/>
                <w:b/>
                <w:color w:val="2E74B5" w:themeColor="accent1" w:themeShade="BF"/>
                <w:sz w:val="24"/>
                <w:szCs w:val="24"/>
              </w:rPr>
              <w:t>Term</w:t>
            </w:r>
          </w:p>
        </w:tc>
        <w:tc>
          <w:tcPr>
            <w:tcW w:w="2254" w:type="dxa"/>
            <w:shd w:val="clear" w:color="auto" w:fill="DEEAF6" w:themeFill="accent1" w:themeFillTint="33"/>
          </w:tcPr>
          <w:p w:rsidR="009B2D7D" w:rsidRPr="009B2D7D" w:rsidRDefault="009B2D7D" w:rsidP="00EB4AA2">
            <w:pPr>
              <w:jc w:val="center"/>
              <w:rPr>
                <w:rFonts w:ascii="Arial" w:hAnsi="Arial" w:cs="Arial"/>
                <w:b/>
                <w:color w:val="2E74B5" w:themeColor="accent1" w:themeShade="BF"/>
                <w:sz w:val="24"/>
                <w:szCs w:val="24"/>
              </w:rPr>
            </w:pPr>
            <w:r w:rsidRPr="009B2D7D">
              <w:rPr>
                <w:rFonts w:ascii="Arial" w:hAnsi="Arial" w:cs="Arial"/>
                <w:b/>
                <w:color w:val="2E74B5" w:themeColor="accent1" w:themeShade="BF"/>
                <w:sz w:val="24"/>
                <w:szCs w:val="24"/>
              </w:rPr>
              <w:t>Project</w:t>
            </w:r>
          </w:p>
        </w:tc>
        <w:tc>
          <w:tcPr>
            <w:tcW w:w="2254" w:type="dxa"/>
            <w:shd w:val="clear" w:color="auto" w:fill="DEEAF6" w:themeFill="accent1" w:themeFillTint="33"/>
          </w:tcPr>
          <w:p w:rsidR="009B2D7D" w:rsidRPr="009B2D7D" w:rsidRDefault="009B2D7D" w:rsidP="00EB4AA2">
            <w:pPr>
              <w:jc w:val="center"/>
              <w:rPr>
                <w:rFonts w:ascii="Arial" w:hAnsi="Arial" w:cs="Arial"/>
                <w:b/>
                <w:color w:val="2E74B5" w:themeColor="accent1" w:themeShade="BF"/>
                <w:sz w:val="24"/>
                <w:szCs w:val="24"/>
              </w:rPr>
            </w:pPr>
            <w:r w:rsidRPr="009B2D7D">
              <w:rPr>
                <w:rFonts w:ascii="Arial" w:hAnsi="Arial" w:cs="Arial"/>
                <w:b/>
                <w:color w:val="2E74B5" w:themeColor="accent1" w:themeShade="BF"/>
                <w:sz w:val="24"/>
                <w:szCs w:val="24"/>
              </w:rPr>
              <w:t>Cost to School</w:t>
            </w:r>
          </w:p>
        </w:tc>
        <w:tc>
          <w:tcPr>
            <w:tcW w:w="2254" w:type="dxa"/>
            <w:shd w:val="clear" w:color="auto" w:fill="DEEAF6" w:themeFill="accent1" w:themeFillTint="33"/>
          </w:tcPr>
          <w:p w:rsidR="009B2D7D" w:rsidRPr="009B2D7D" w:rsidRDefault="009B2D7D" w:rsidP="00EB4AA2">
            <w:pPr>
              <w:jc w:val="center"/>
              <w:rPr>
                <w:rFonts w:ascii="Arial" w:hAnsi="Arial" w:cs="Arial"/>
                <w:b/>
                <w:color w:val="2E74B5" w:themeColor="accent1" w:themeShade="BF"/>
                <w:sz w:val="24"/>
                <w:szCs w:val="24"/>
              </w:rPr>
            </w:pPr>
            <w:r w:rsidRPr="009B2D7D">
              <w:rPr>
                <w:rFonts w:ascii="Arial" w:hAnsi="Arial" w:cs="Arial"/>
                <w:b/>
                <w:color w:val="2E74B5" w:themeColor="accent1" w:themeShade="BF"/>
                <w:sz w:val="24"/>
                <w:szCs w:val="24"/>
              </w:rPr>
              <w:t>School Costs</w:t>
            </w:r>
          </w:p>
          <w:p w:rsidR="009B2D7D" w:rsidRPr="009B2D7D" w:rsidRDefault="009B2D7D" w:rsidP="00EB4AA2">
            <w:pPr>
              <w:jc w:val="center"/>
              <w:rPr>
                <w:rFonts w:ascii="Arial" w:hAnsi="Arial" w:cs="Arial"/>
                <w:b/>
                <w:color w:val="2E74B5" w:themeColor="accent1" w:themeShade="BF"/>
                <w:sz w:val="24"/>
                <w:szCs w:val="24"/>
              </w:rPr>
            </w:pPr>
            <w:r w:rsidRPr="009B2D7D">
              <w:rPr>
                <w:rFonts w:ascii="Arial" w:hAnsi="Arial" w:cs="Arial"/>
                <w:b/>
                <w:color w:val="2E74B5" w:themeColor="accent1" w:themeShade="BF"/>
                <w:sz w:val="24"/>
                <w:szCs w:val="24"/>
              </w:rPr>
              <w:t>%</w:t>
            </w:r>
          </w:p>
        </w:tc>
      </w:tr>
      <w:tr w:rsidR="009B2D7D" w:rsidTr="009B2D7D">
        <w:tc>
          <w:tcPr>
            <w:tcW w:w="2254" w:type="dxa"/>
            <w:shd w:val="clear" w:color="auto" w:fill="FFFFFF" w:themeFill="background1"/>
          </w:tcPr>
          <w:p w:rsidR="009B2D7D" w:rsidRPr="009B2D7D" w:rsidRDefault="00820813"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Autumn</w:t>
            </w:r>
          </w:p>
        </w:tc>
        <w:tc>
          <w:tcPr>
            <w:tcW w:w="2254" w:type="dxa"/>
            <w:shd w:val="clear" w:color="auto" w:fill="FFFFFF" w:themeFill="background1"/>
          </w:tcPr>
          <w:p w:rsidR="009B2D7D" w:rsidRPr="009B2D7D" w:rsidRDefault="00820813"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EYFS Outdoor Area</w:t>
            </w:r>
          </w:p>
        </w:tc>
        <w:tc>
          <w:tcPr>
            <w:tcW w:w="2254" w:type="dxa"/>
            <w:shd w:val="clear" w:color="auto" w:fill="FFFFFF" w:themeFill="background1"/>
          </w:tcPr>
          <w:p w:rsidR="009B2D7D" w:rsidRDefault="009B2D7D" w:rsidP="00EB4AA2">
            <w:pPr>
              <w:jc w:val="center"/>
              <w:rPr>
                <w:rFonts w:ascii="Arial" w:hAnsi="Arial" w:cs="Arial"/>
                <w:b/>
                <w:color w:val="2E74B5" w:themeColor="accent1" w:themeShade="BF"/>
                <w:sz w:val="24"/>
                <w:szCs w:val="24"/>
              </w:rPr>
            </w:pPr>
          </w:p>
          <w:p w:rsidR="00D82E33" w:rsidRPr="009B2D7D" w:rsidRDefault="00D82E33" w:rsidP="00D82E33">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£16,939</w:t>
            </w:r>
          </w:p>
        </w:tc>
        <w:tc>
          <w:tcPr>
            <w:tcW w:w="2254" w:type="dxa"/>
            <w:shd w:val="clear" w:color="auto" w:fill="FFFFFF" w:themeFill="background1"/>
          </w:tcPr>
          <w:p w:rsidR="009B2D7D" w:rsidRDefault="009B2D7D" w:rsidP="00EB4AA2">
            <w:pPr>
              <w:jc w:val="center"/>
              <w:rPr>
                <w:rFonts w:ascii="Arial" w:hAnsi="Arial" w:cs="Arial"/>
                <w:b/>
                <w:color w:val="2E74B5" w:themeColor="accent1" w:themeShade="BF"/>
                <w:sz w:val="24"/>
                <w:szCs w:val="24"/>
              </w:rPr>
            </w:pPr>
          </w:p>
          <w:p w:rsidR="00D82E33" w:rsidRPr="009B2D7D" w:rsidRDefault="00D82E33"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40.96%</w:t>
            </w:r>
          </w:p>
        </w:tc>
      </w:tr>
      <w:tr w:rsidR="009B2D7D" w:rsidTr="009B2D7D">
        <w:tc>
          <w:tcPr>
            <w:tcW w:w="2254" w:type="dxa"/>
            <w:shd w:val="clear" w:color="auto" w:fill="FFFFFF" w:themeFill="background1"/>
          </w:tcPr>
          <w:p w:rsidR="009B2D7D" w:rsidRPr="009B2D7D" w:rsidRDefault="00820813"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Spring Term</w:t>
            </w:r>
          </w:p>
        </w:tc>
        <w:tc>
          <w:tcPr>
            <w:tcW w:w="2254" w:type="dxa"/>
            <w:shd w:val="clear" w:color="auto" w:fill="FFFFFF" w:themeFill="background1"/>
          </w:tcPr>
          <w:p w:rsidR="009B2D7D" w:rsidRPr="009B2D7D" w:rsidRDefault="00820813"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Adventure Playground</w:t>
            </w:r>
          </w:p>
        </w:tc>
        <w:tc>
          <w:tcPr>
            <w:tcW w:w="2254" w:type="dxa"/>
            <w:shd w:val="clear" w:color="auto" w:fill="FFFFFF" w:themeFill="background1"/>
          </w:tcPr>
          <w:p w:rsidR="009B2D7D" w:rsidRDefault="009B2D7D" w:rsidP="00EB4AA2">
            <w:pPr>
              <w:jc w:val="center"/>
              <w:rPr>
                <w:rFonts w:ascii="Arial" w:hAnsi="Arial" w:cs="Arial"/>
                <w:b/>
                <w:color w:val="2E74B5" w:themeColor="accent1" w:themeShade="BF"/>
                <w:sz w:val="24"/>
                <w:szCs w:val="24"/>
              </w:rPr>
            </w:pPr>
          </w:p>
          <w:p w:rsidR="001A7EC7" w:rsidRPr="009B2D7D" w:rsidRDefault="001A7EC7"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£17, 208</w:t>
            </w:r>
          </w:p>
        </w:tc>
        <w:tc>
          <w:tcPr>
            <w:tcW w:w="2254" w:type="dxa"/>
            <w:shd w:val="clear" w:color="auto" w:fill="FFFFFF" w:themeFill="background1"/>
          </w:tcPr>
          <w:p w:rsidR="009B2D7D" w:rsidRDefault="009B2D7D" w:rsidP="00EB4AA2">
            <w:pPr>
              <w:jc w:val="center"/>
              <w:rPr>
                <w:rFonts w:ascii="Arial" w:hAnsi="Arial" w:cs="Arial"/>
                <w:b/>
                <w:color w:val="2E74B5" w:themeColor="accent1" w:themeShade="BF"/>
                <w:sz w:val="24"/>
                <w:szCs w:val="24"/>
              </w:rPr>
            </w:pPr>
          </w:p>
          <w:p w:rsidR="001A7EC7" w:rsidRPr="009B2D7D" w:rsidRDefault="001A7EC7" w:rsidP="00EB4AA2">
            <w:pPr>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62.2%</w:t>
            </w:r>
          </w:p>
        </w:tc>
      </w:tr>
    </w:tbl>
    <w:p w:rsidR="009B2D7D" w:rsidRPr="00EB4AA2" w:rsidRDefault="009B2D7D" w:rsidP="00EB4AA2">
      <w:pPr>
        <w:jc w:val="center"/>
        <w:rPr>
          <w:rFonts w:ascii="Arial" w:hAnsi="Arial" w:cs="Arial"/>
          <w:color w:val="2E74B5" w:themeColor="accent1" w:themeShade="BF"/>
          <w:sz w:val="28"/>
          <w:szCs w:val="28"/>
        </w:rPr>
      </w:pPr>
    </w:p>
    <w:sectPr w:rsidR="009B2D7D" w:rsidRPr="00EB4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A2"/>
    <w:rsid w:val="0007201C"/>
    <w:rsid w:val="001A7EC7"/>
    <w:rsid w:val="006070BC"/>
    <w:rsid w:val="006A34D9"/>
    <w:rsid w:val="00820813"/>
    <w:rsid w:val="009B2D7D"/>
    <w:rsid w:val="00D82E33"/>
    <w:rsid w:val="00EB4AA2"/>
    <w:rsid w:val="00F877A6"/>
    <w:rsid w:val="00FD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7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7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Charters School</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Office</cp:lastModifiedBy>
  <cp:revision>3</cp:revision>
  <cp:lastPrinted>2018-04-26T11:07:00Z</cp:lastPrinted>
  <dcterms:created xsi:type="dcterms:W3CDTF">2018-04-26T12:47:00Z</dcterms:created>
  <dcterms:modified xsi:type="dcterms:W3CDTF">2018-04-26T12:50:00Z</dcterms:modified>
</cp:coreProperties>
</file>